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687B2" w14:textId="77777777" w:rsidR="00F90FB3" w:rsidRPr="00707C56" w:rsidRDefault="00707C56">
      <w:pPr>
        <w:rPr>
          <w:sz w:val="24"/>
          <w:szCs w:val="24"/>
        </w:rPr>
      </w:pPr>
      <w:r w:rsidRPr="00707C56">
        <w:rPr>
          <w:sz w:val="24"/>
          <w:szCs w:val="24"/>
        </w:rPr>
        <w:t>Synthesis Rubric:</w:t>
      </w:r>
    </w:p>
    <w:p w14:paraId="4490A9DB" w14:textId="77777777" w:rsidR="00707C56" w:rsidRPr="00707C56" w:rsidRDefault="00707C56" w:rsidP="00707C56">
      <w:pPr>
        <w:widowControl w:val="0"/>
        <w:autoSpaceDE w:val="0"/>
        <w:autoSpaceDN w:val="0"/>
        <w:adjustRightInd w:val="0"/>
        <w:rPr>
          <w:rFonts w:ascii="Garamond" w:hAnsi="Garamond" w:cs="Helvetica Neue"/>
          <w:sz w:val="24"/>
          <w:szCs w:val="24"/>
        </w:rPr>
      </w:pPr>
      <w:r w:rsidRPr="00707C56">
        <w:rPr>
          <w:rFonts w:ascii="Garamond" w:hAnsi="Garamond" w:cs="Helvetica Neue"/>
          <w:b/>
          <w:bCs/>
          <w:sz w:val="24"/>
          <w:szCs w:val="24"/>
        </w:rPr>
        <w:t xml:space="preserve">A: </w:t>
      </w:r>
      <w:proofErr w:type="spellStart"/>
      <w:r w:rsidRPr="00707C56">
        <w:rPr>
          <w:rFonts w:ascii="Garamond" w:hAnsi="Garamond" w:cs="Helvetica Neue"/>
          <w:b/>
          <w:bCs/>
          <w:sz w:val="24"/>
          <w:szCs w:val="24"/>
        </w:rPr>
        <w:t>Analysing</w:t>
      </w:r>
      <w:proofErr w:type="spellEnd"/>
      <w:r w:rsidRPr="00707C56">
        <w:rPr>
          <w:rFonts w:ascii="Garamond" w:hAnsi="Garamond" w:cs="Helvetica Neue"/>
          <w:sz w:val="24"/>
          <w:szCs w:val="24"/>
        </w:rPr>
        <w:t xml:space="preserve"> </w:t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</w:p>
    <w:p w14:paraId="7CD10980" w14:textId="124BE7C0" w:rsidR="00707C56" w:rsidRPr="00707C56" w:rsidRDefault="00707C56" w:rsidP="00707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Helvetica Neue"/>
        </w:rPr>
      </w:pPr>
      <w:r w:rsidRPr="00707C56">
        <w:rPr>
          <w:rFonts w:ascii="Garamond" w:hAnsi="Garamond" w:cs="Helvetica Neue"/>
        </w:rPr>
        <w:t xml:space="preserve">justify opinions and ideas, using examples, explanations and terminology </w:t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</w:p>
    <w:p w14:paraId="7A66769F" w14:textId="3DF1412C" w:rsidR="00707C56" w:rsidRPr="00707C56" w:rsidRDefault="00707C56" w:rsidP="00707C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Helvetica Neue"/>
        </w:rPr>
      </w:pPr>
      <w:r w:rsidRPr="00707C56">
        <w:rPr>
          <w:rFonts w:ascii="Garamond" w:hAnsi="Garamond" w:cs="Helvetica Neue"/>
        </w:rPr>
        <w:t xml:space="preserve">evaluate similarities and differences by connecting features across and within genres and texts. </w:t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</w:p>
    <w:p w14:paraId="47E1AD2B" w14:textId="77777777" w:rsidR="00707C56" w:rsidRPr="00707C56" w:rsidRDefault="00707C56" w:rsidP="00707C56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sz w:val="24"/>
          <w:szCs w:val="24"/>
        </w:rPr>
      </w:pPr>
    </w:p>
    <w:p w14:paraId="37BD2AC1" w14:textId="77777777" w:rsidR="00707C56" w:rsidRPr="00707C56" w:rsidRDefault="00707C56" w:rsidP="00707C56">
      <w:pPr>
        <w:widowControl w:val="0"/>
        <w:autoSpaceDE w:val="0"/>
        <w:autoSpaceDN w:val="0"/>
        <w:adjustRightInd w:val="0"/>
        <w:rPr>
          <w:rFonts w:ascii="Garamond" w:hAnsi="Garamond" w:cs="Helvetica Neue"/>
          <w:sz w:val="24"/>
          <w:szCs w:val="24"/>
        </w:rPr>
      </w:pPr>
      <w:r w:rsidRPr="00707C56">
        <w:rPr>
          <w:rFonts w:ascii="Garamond" w:hAnsi="Garamond" w:cs="Helvetica Neue"/>
          <w:b/>
          <w:bCs/>
          <w:sz w:val="24"/>
          <w:szCs w:val="24"/>
        </w:rPr>
        <w:t>C: Producing text</w:t>
      </w:r>
      <w:r w:rsidRPr="00707C56">
        <w:rPr>
          <w:rFonts w:ascii="Garamond" w:hAnsi="Garamond" w:cs="Helvetica Neue"/>
          <w:sz w:val="24"/>
          <w:szCs w:val="24"/>
        </w:rPr>
        <w:t xml:space="preserve"> </w:t>
      </w:r>
    </w:p>
    <w:p w14:paraId="6F1E09AC" w14:textId="5E2FBDBA" w:rsidR="00707C56" w:rsidRPr="00707C56" w:rsidRDefault="00707C56" w:rsidP="00707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Helvetica Neue"/>
        </w:rPr>
      </w:pPr>
      <w:r w:rsidRPr="00707C56">
        <w:rPr>
          <w:rFonts w:ascii="Garamond" w:hAnsi="Garamond" w:cs="Helvetica Neue"/>
        </w:rPr>
        <w:t xml:space="preserve">produce texts that demonstrate insight, imagination and sensitivity while exploring and reflecting critically on new perspectives and ideas arising from personal engagement with the creative process </w:t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</w:p>
    <w:p w14:paraId="6E660A56" w14:textId="6F211002" w:rsidR="00707C56" w:rsidRPr="00707C56" w:rsidRDefault="00707C56" w:rsidP="00707C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Helvetica Neue"/>
        </w:rPr>
      </w:pPr>
      <w:r w:rsidRPr="00707C56">
        <w:rPr>
          <w:rFonts w:ascii="Garamond" w:hAnsi="Garamond" w:cs="Helvetica Neue"/>
        </w:rPr>
        <w:t xml:space="preserve">selects relevant details and examples to develop ideas. </w:t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  <w:r w:rsidRPr="00707C56">
        <w:rPr>
          <w:rFonts w:ascii="Garamond" w:hAnsi="Garamond" w:cs="Helvetica Neue"/>
        </w:rPr>
        <w:tab/>
      </w:r>
    </w:p>
    <w:p w14:paraId="5BA77303" w14:textId="77777777" w:rsidR="00707C56" w:rsidRPr="00707C56" w:rsidRDefault="00707C56" w:rsidP="00707C56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bCs/>
          <w:sz w:val="24"/>
          <w:szCs w:val="24"/>
        </w:rPr>
      </w:pPr>
    </w:p>
    <w:p w14:paraId="41F417FA" w14:textId="4C42FF9E" w:rsidR="00707C56" w:rsidRPr="00707C56" w:rsidRDefault="00707C56" w:rsidP="00707C56">
      <w:pPr>
        <w:widowControl w:val="0"/>
        <w:autoSpaceDE w:val="0"/>
        <w:autoSpaceDN w:val="0"/>
        <w:adjustRightInd w:val="0"/>
        <w:ind w:left="360"/>
        <w:rPr>
          <w:rFonts w:ascii="Garamond" w:hAnsi="Garamond" w:cs="Helvetica Neue"/>
          <w:sz w:val="24"/>
          <w:szCs w:val="24"/>
        </w:rPr>
      </w:pPr>
      <w:r w:rsidRPr="00707C56">
        <w:rPr>
          <w:rFonts w:ascii="Garamond" w:hAnsi="Garamond" w:cs="Helvetica Neue"/>
          <w:sz w:val="24"/>
          <w:szCs w:val="24"/>
        </w:rPr>
        <w:t>Total:</w:t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  <w:r w:rsidRPr="00707C56">
        <w:rPr>
          <w:rFonts w:ascii="Garamond" w:hAnsi="Garamond" w:cs="Helvetica Neue"/>
          <w:sz w:val="24"/>
          <w:szCs w:val="24"/>
        </w:rPr>
        <w:tab/>
      </w:r>
    </w:p>
    <w:p w14:paraId="4C489C26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  <w:r w:rsidRPr="00707C56">
        <w:rPr>
          <w:rFonts w:ascii="Garamond" w:hAnsi="Garamond"/>
          <w:b/>
          <w:sz w:val="24"/>
          <w:szCs w:val="24"/>
        </w:rPr>
        <w:t xml:space="preserve">Criterion A: </w:t>
      </w:r>
      <w:proofErr w:type="spellStart"/>
      <w:r w:rsidRPr="00707C56">
        <w:rPr>
          <w:rFonts w:ascii="Garamond" w:hAnsi="Garamond" w:cs="Helvetica Neue"/>
          <w:b/>
          <w:bCs/>
          <w:sz w:val="24"/>
          <w:szCs w:val="24"/>
        </w:rPr>
        <w:t>Analysing</w:t>
      </w:r>
      <w:proofErr w:type="spellEnd"/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707C56" w:rsidRPr="00707C56" w14:paraId="6A4B4D49" w14:textId="77777777" w:rsidTr="00E80B76">
        <w:tc>
          <w:tcPr>
            <w:tcW w:w="766" w:type="dxa"/>
          </w:tcPr>
          <w:p w14:paraId="189B3ED7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16C67A33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574AC3ED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07C56" w:rsidRPr="00707C56" w14:paraId="54D207A8" w14:textId="77777777" w:rsidTr="00E80B76">
        <w:tc>
          <w:tcPr>
            <w:tcW w:w="766" w:type="dxa"/>
          </w:tcPr>
          <w:p w14:paraId="65E0E2D4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7F6ABBC6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0</w:t>
            </w:r>
          </w:p>
        </w:tc>
        <w:tc>
          <w:tcPr>
            <w:tcW w:w="5192" w:type="dxa"/>
          </w:tcPr>
          <w:p w14:paraId="3CB29630" w14:textId="77777777" w:rsidR="00707C56" w:rsidRPr="00707C56" w:rsidRDefault="00707C56" w:rsidP="00E80B7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2A3881A3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Comments</w:t>
            </w:r>
          </w:p>
        </w:tc>
      </w:tr>
      <w:tr w:rsidR="00707C56" w:rsidRPr="00707C56" w14:paraId="4495E339" w14:textId="77777777" w:rsidTr="00E80B76">
        <w:tc>
          <w:tcPr>
            <w:tcW w:w="766" w:type="dxa"/>
          </w:tcPr>
          <w:p w14:paraId="187C8FC6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7DA46D4D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28022307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1-2</w:t>
            </w:r>
          </w:p>
        </w:tc>
        <w:tc>
          <w:tcPr>
            <w:tcW w:w="5192" w:type="dxa"/>
          </w:tcPr>
          <w:p w14:paraId="7506875A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student:</w:t>
            </w:r>
          </w:p>
          <w:p w14:paraId="1683704C" w14:textId="77777777" w:rsidR="00707C56" w:rsidRPr="00707C56" w:rsidRDefault="00707C56" w:rsidP="00707C56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rarely justifies opinions and ideas with examples or explanations; uses little or no terminology, </w:t>
            </w:r>
          </w:p>
          <w:p w14:paraId="4B77DCF7" w14:textId="77777777" w:rsidR="00707C56" w:rsidRPr="00707C56" w:rsidRDefault="00707C56" w:rsidP="00707C56">
            <w:pPr>
              <w:pStyle w:val="ListParagraph"/>
              <w:numPr>
                <w:ilvl w:val="0"/>
                <w:numId w:val="5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evaluates few similarities and differences by making minimal connections in features across and within genres and texts.</w:t>
            </w:r>
          </w:p>
        </w:tc>
        <w:tc>
          <w:tcPr>
            <w:tcW w:w="3150" w:type="dxa"/>
          </w:tcPr>
          <w:p w14:paraId="5064C2E6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  <w:tr w:rsidR="00707C56" w:rsidRPr="00707C56" w14:paraId="35A10964" w14:textId="77777777" w:rsidTr="00E80B76">
        <w:tc>
          <w:tcPr>
            <w:tcW w:w="766" w:type="dxa"/>
          </w:tcPr>
          <w:p w14:paraId="453ACA3D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7B6D5967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2D0BBD0E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3-4</w:t>
            </w:r>
          </w:p>
        </w:tc>
        <w:tc>
          <w:tcPr>
            <w:tcW w:w="5192" w:type="dxa"/>
          </w:tcPr>
          <w:p w14:paraId="366086A5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student:</w:t>
            </w:r>
          </w:p>
          <w:p w14:paraId="301A4980" w14:textId="77777777" w:rsidR="00707C56" w:rsidRPr="00707C56" w:rsidRDefault="00707C56" w:rsidP="00707C56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justifies opinions and ideas with some examples and explanations, though this may not be consistent; uses some terminology, </w:t>
            </w:r>
          </w:p>
          <w:p w14:paraId="7B827A01" w14:textId="77777777" w:rsidR="00707C56" w:rsidRPr="00707C56" w:rsidRDefault="00707C56" w:rsidP="00707C56">
            <w:pPr>
              <w:pStyle w:val="ListParagraph"/>
              <w:numPr>
                <w:ilvl w:val="0"/>
                <w:numId w:val="6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evaluates some similarities and differences by making adequate connections in features across and within genres and texts.</w:t>
            </w:r>
          </w:p>
        </w:tc>
        <w:tc>
          <w:tcPr>
            <w:tcW w:w="3150" w:type="dxa"/>
          </w:tcPr>
          <w:p w14:paraId="578F75A4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  <w:tr w:rsidR="00707C56" w:rsidRPr="00707C56" w14:paraId="54A767D7" w14:textId="77777777" w:rsidTr="00E80B76">
        <w:tc>
          <w:tcPr>
            <w:tcW w:w="766" w:type="dxa"/>
          </w:tcPr>
          <w:p w14:paraId="7DF221FB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4D0EA686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461744C3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5-6</w:t>
            </w:r>
          </w:p>
        </w:tc>
        <w:tc>
          <w:tcPr>
            <w:tcW w:w="5192" w:type="dxa"/>
          </w:tcPr>
          <w:p w14:paraId="05B5BDC4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student:</w:t>
            </w:r>
          </w:p>
          <w:p w14:paraId="283DC246" w14:textId="77777777" w:rsidR="00707C56" w:rsidRPr="00707C56" w:rsidRDefault="00707C56" w:rsidP="00707C56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sufficiently justifies opinions and ideas with examples and explanations; uses accurate terminology, </w:t>
            </w:r>
          </w:p>
          <w:p w14:paraId="6452C880" w14:textId="77777777" w:rsidR="00707C56" w:rsidRPr="00707C56" w:rsidRDefault="00707C56" w:rsidP="00707C56">
            <w:pPr>
              <w:pStyle w:val="ListParagraph"/>
              <w:numPr>
                <w:ilvl w:val="0"/>
                <w:numId w:val="7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evaluates similarities and differences by making substantial connections in features across and within genres and texts.</w:t>
            </w:r>
          </w:p>
        </w:tc>
        <w:tc>
          <w:tcPr>
            <w:tcW w:w="3150" w:type="dxa"/>
          </w:tcPr>
          <w:p w14:paraId="56E2C4DE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  <w:tr w:rsidR="00707C56" w:rsidRPr="00707C56" w14:paraId="069D7735" w14:textId="77777777" w:rsidTr="00E80B76">
        <w:tc>
          <w:tcPr>
            <w:tcW w:w="766" w:type="dxa"/>
          </w:tcPr>
          <w:p w14:paraId="3547923A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15C17CDC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3ADFC9D5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7-8</w:t>
            </w:r>
          </w:p>
        </w:tc>
        <w:tc>
          <w:tcPr>
            <w:tcW w:w="5192" w:type="dxa"/>
          </w:tcPr>
          <w:p w14:paraId="364EB5EA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student:</w:t>
            </w:r>
          </w:p>
          <w:p w14:paraId="04A59B11" w14:textId="77777777" w:rsidR="00707C56" w:rsidRPr="00707C56" w:rsidRDefault="00707C56" w:rsidP="00707C56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provides perceptive analysis of the content, context, </w:t>
            </w:r>
          </w:p>
          <w:p w14:paraId="603A9279" w14:textId="77777777" w:rsidR="00707C56" w:rsidRPr="00707C56" w:rsidRDefault="00707C56" w:rsidP="00707C56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gives detailed justification of opinions and ideas with a range of examples, and thorough explanations; uses accurate terminology, </w:t>
            </w:r>
          </w:p>
          <w:p w14:paraId="421207BF" w14:textId="77777777" w:rsidR="00707C56" w:rsidRPr="00707C56" w:rsidRDefault="00707C56" w:rsidP="00707C56">
            <w:pPr>
              <w:pStyle w:val="ListParagraph"/>
              <w:numPr>
                <w:ilvl w:val="0"/>
                <w:numId w:val="8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perceptively compares and contrasts by making extensive connections in features across and within genres and texts.</w:t>
            </w:r>
          </w:p>
        </w:tc>
        <w:tc>
          <w:tcPr>
            <w:tcW w:w="3150" w:type="dxa"/>
          </w:tcPr>
          <w:p w14:paraId="48BFF16B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</w:tbl>
    <w:p w14:paraId="61F2DDDB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3D35FDD7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5B57EE6E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5762DD2F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06CC2B25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  <w:r w:rsidRPr="00707C56">
        <w:rPr>
          <w:rFonts w:ascii="Garamond" w:hAnsi="Garamond"/>
          <w:b/>
          <w:sz w:val="24"/>
          <w:szCs w:val="24"/>
        </w:rPr>
        <w:t xml:space="preserve">Criterion C: </w:t>
      </w:r>
      <w:r w:rsidRPr="00707C56">
        <w:rPr>
          <w:rFonts w:ascii="Garamond" w:hAnsi="Garamond" w:cs="Helvetica Neue"/>
          <w:b/>
          <w:bCs/>
          <w:sz w:val="24"/>
          <w:szCs w:val="24"/>
        </w:rPr>
        <w:t>Producing Text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707C56" w:rsidRPr="00707C56" w14:paraId="007FD017" w14:textId="77777777" w:rsidTr="00E80B76">
        <w:tc>
          <w:tcPr>
            <w:tcW w:w="766" w:type="dxa"/>
          </w:tcPr>
          <w:p w14:paraId="619FE077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4D730DA5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51DF59AB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Task-Specific Clarification</w:t>
            </w:r>
          </w:p>
        </w:tc>
      </w:tr>
      <w:tr w:rsidR="00707C56" w:rsidRPr="00707C56" w14:paraId="76F26B9D" w14:textId="77777777" w:rsidTr="00E80B76">
        <w:tc>
          <w:tcPr>
            <w:tcW w:w="766" w:type="dxa"/>
          </w:tcPr>
          <w:p w14:paraId="425EA319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43A3DE62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0</w:t>
            </w:r>
          </w:p>
        </w:tc>
        <w:tc>
          <w:tcPr>
            <w:tcW w:w="5192" w:type="dxa"/>
          </w:tcPr>
          <w:p w14:paraId="009734EA" w14:textId="77777777" w:rsidR="00707C56" w:rsidRPr="00707C56" w:rsidRDefault="00707C56" w:rsidP="00E80B7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43D5AA48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/>
                <w:b/>
              </w:rPr>
              <w:t>Comments</w:t>
            </w:r>
          </w:p>
        </w:tc>
      </w:tr>
      <w:tr w:rsidR="00707C56" w:rsidRPr="00707C56" w14:paraId="123E8E62" w14:textId="77777777" w:rsidTr="00E80B76">
        <w:tc>
          <w:tcPr>
            <w:tcW w:w="766" w:type="dxa"/>
          </w:tcPr>
          <w:p w14:paraId="4D175B13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140DB741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6D3BF9CC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1-2</w:t>
            </w:r>
          </w:p>
        </w:tc>
        <w:tc>
          <w:tcPr>
            <w:tcW w:w="5192" w:type="dxa"/>
          </w:tcPr>
          <w:p w14:paraId="30EB085D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 produces texts that:</w:t>
            </w:r>
          </w:p>
          <w:p w14:paraId="43AC9800" w14:textId="77777777" w:rsidR="00707C56" w:rsidRPr="00707C56" w:rsidRDefault="00707C56" w:rsidP="00707C56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demonstrate limited personal engagement with the creative process; demonstrates a limited degree of insight, imagination or sensitivity and minimal exploration of and critical reflection on new perspectives and ideas, </w:t>
            </w:r>
          </w:p>
          <w:p w14:paraId="4F500507" w14:textId="77777777" w:rsidR="00707C56" w:rsidRPr="00707C56" w:rsidRDefault="00707C56" w:rsidP="00707C56">
            <w:pPr>
              <w:pStyle w:val="ListParagraph"/>
              <w:numPr>
                <w:ilvl w:val="0"/>
                <w:numId w:val="13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selects few relevant details and examples to develop ideas.</w:t>
            </w:r>
          </w:p>
        </w:tc>
        <w:tc>
          <w:tcPr>
            <w:tcW w:w="3150" w:type="dxa"/>
          </w:tcPr>
          <w:p w14:paraId="4BDDACE4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  <w:tr w:rsidR="00707C56" w:rsidRPr="00707C56" w14:paraId="3EC7F573" w14:textId="77777777" w:rsidTr="00E80B76">
        <w:tc>
          <w:tcPr>
            <w:tcW w:w="766" w:type="dxa"/>
          </w:tcPr>
          <w:p w14:paraId="04E8FA21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78D08420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7269AC0B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3-4</w:t>
            </w:r>
          </w:p>
        </w:tc>
        <w:tc>
          <w:tcPr>
            <w:tcW w:w="5192" w:type="dxa"/>
          </w:tcPr>
          <w:p w14:paraId="5AFA1BE7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 xml:space="preserve">The student produces texts that: </w:t>
            </w:r>
          </w:p>
          <w:p w14:paraId="480D5B23" w14:textId="77777777" w:rsidR="00707C56" w:rsidRPr="00707C56" w:rsidRDefault="00707C56" w:rsidP="00707C56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demonstrate adequate personal engagement with the creative process; demonstrates some insight, imagination or sensitivity and some exploration of and critical reflection on new perspectives and ideas, </w:t>
            </w:r>
          </w:p>
          <w:p w14:paraId="436E2EF9" w14:textId="77777777" w:rsidR="00707C56" w:rsidRPr="00707C56" w:rsidRDefault="00707C56" w:rsidP="00707C56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makes some stylistic choices in terms of linguistic, literary and visual devices, demonstrating adequate awareness of impact on an audience, </w:t>
            </w:r>
          </w:p>
          <w:p w14:paraId="750CD774" w14:textId="77777777" w:rsidR="00707C56" w:rsidRPr="00707C56" w:rsidRDefault="00707C56" w:rsidP="00707C56">
            <w:pPr>
              <w:pStyle w:val="ListParagraph"/>
              <w:numPr>
                <w:ilvl w:val="0"/>
                <w:numId w:val="14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selects some relevant details and examples to develop ideas.</w:t>
            </w:r>
          </w:p>
        </w:tc>
        <w:tc>
          <w:tcPr>
            <w:tcW w:w="3150" w:type="dxa"/>
          </w:tcPr>
          <w:p w14:paraId="08B2648C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  <w:tr w:rsidR="00707C56" w:rsidRPr="00707C56" w14:paraId="63D53B10" w14:textId="77777777" w:rsidTr="00E80B76">
        <w:tc>
          <w:tcPr>
            <w:tcW w:w="766" w:type="dxa"/>
          </w:tcPr>
          <w:p w14:paraId="18200529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1F72BB35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0F849468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5-6</w:t>
            </w:r>
          </w:p>
        </w:tc>
        <w:tc>
          <w:tcPr>
            <w:tcW w:w="5192" w:type="dxa"/>
          </w:tcPr>
          <w:p w14:paraId="6C3E1D70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 produces texts that:</w:t>
            </w:r>
          </w:p>
          <w:p w14:paraId="25FC52B7" w14:textId="77777777" w:rsidR="00707C56" w:rsidRPr="00707C56" w:rsidRDefault="00707C56" w:rsidP="00707C56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demonstrate considerable personal engagement with the creative process; demonstrates considerable insight, imagination or sensitivity and substantial exploration of and critical reflection on new perspectives and ideas, </w:t>
            </w:r>
          </w:p>
          <w:p w14:paraId="5BFE083A" w14:textId="77777777" w:rsidR="00707C56" w:rsidRPr="00707C56" w:rsidRDefault="00707C56" w:rsidP="00707C56">
            <w:pPr>
              <w:pStyle w:val="ListParagraph"/>
              <w:numPr>
                <w:ilvl w:val="0"/>
                <w:numId w:val="15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selects sufficient relevant details and examples to develop ideas.</w:t>
            </w:r>
          </w:p>
        </w:tc>
        <w:tc>
          <w:tcPr>
            <w:tcW w:w="3150" w:type="dxa"/>
          </w:tcPr>
          <w:p w14:paraId="3B8E796E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  <w:tr w:rsidR="00707C56" w:rsidRPr="00707C56" w14:paraId="77F1DFD8" w14:textId="77777777" w:rsidTr="00E80B76">
        <w:tc>
          <w:tcPr>
            <w:tcW w:w="766" w:type="dxa"/>
          </w:tcPr>
          <w:p w14:paraId="0647C74F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0AB5C3CC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</w:p>
          <w:p w14:paraId="7A250F05" w14:textId="77777777" w:rsidR="00707C56" w:rsidRPr="00707C56" w:rsidRDefault="00707C56" w:rsidP="00E80B76">
            <w:pPr>
              <w:jc w:val="center"/>
              <w:rPr>
                <w:rFonts w:ascii="Garamond" w:hAnsi="Garamond"/>
              </w:rPr>
            </w:pPr>
            <w:r w:rsidRPr="00707C56">
              <w:rPr>
                <w:rFonts w:ascii="Garamond" w:hAnsi="Garamond"/>
              </w:rPr>
              <w:t>7-8</w:t>
            </w:r>
          </w:p>
        </w:tc>
        <w:tc>
          <w:tcPr>
            <w:tcW w:w="5192" w:type="dxa"/>
          </w:tcPr>
          <w:p w14:paraId="7ABE2F92" w14:textId="77777777" w:rsidR="00707C56" w:rsidRPr="00707C56" w:rsidRDefault="00707C56" w:rsidP="00E80B76">
            <w:pPr>
              <w:rPr>
                <w:rFonts w:ascii="Garamond" w:hAnsi="Garamond" w:cs="Helvetica Neue"/>
              </w:rPr>
            </w:pPr>
            <w:r w:rsidRPr="00707C56">
              <w:rPr>
                <w:rFonts w:ascii="Garamond" w:hAnsi="Garamond" w:cs="Helvetica Neue"/>
              </w:rPr>
              <w:t>The student produces texts that:</w:t>
            </w:r>
          </w:p>
          <w:p w14:paraId="6D33DE82" w14:textId="77777777" w:rsidR="00707C56" w:rsidRPr="00707C56" w:rsidRDefault="00707C56" w:rsidP="00707C56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 xml:space="preserve">demonstrate a high degree of personal engagement with the creative process; demonstrates a high degree of insight, imagination or sensitivity and perceptive exploration of and critical reflection on new perspectives and ideas, </w:t>
            </w:r>
          </w:p>
          <w:p w14:paraId="79EC25C6" w14:textId="77777777" w:rsidR="00707C56" w:rsidRPr="00707C56" w:rsidRDefault="00707C56" w:rsidP="00707C56">
            <w:pPr>
              <w:pStyle w:val="ListParagraph"/>
              <w:numPr>
                <w:ilvl w:val="0"/>
                <w:numId w:val="16"/>
              </w:numPr>
              <w:ind w:hanging="136"/>
              <w:rPr>
                <w:rFonts w:ascii="Garamond" w:hAnsi="Garamond"/>
                <w:b/>
              </w:rPr>
            </w:pPr>
            <w:r w:rsidRPr="00707C56">
              <w:rPr>
                <w:rFonts w:ascii="Garamond" w:hAnsi="Garamond" w:cs="Helvetica Neue"/>
              </w:rPr>
              <w:t>selects extensive relevant details and examples to develop ideas with precision.</w:t>
            </w:r>
          </w:p>
        </w:tc>
        <w:tc>
          <w:tcPr>
            <w:tcW w:w="3150" w:type="dxa"/>
          </w:tcPr>
          <w:p w14:paraId="73720334" w14:textId="77777777" w:rsidR="00707C56" w:rsidRPr="00707C56" w:rsidRDefault="00707C56" w:rsidP="00E80B76">
            <w:pPr>
              <w:rPr>
                <w:rFonts w:ascii="Garamond" w:hAnsi="Garamond"/>
                <w:b/>
              </w:rPr>
            </w:pPr>
          </w:p>
        </w:tc>
      </w:tr>
    </w:tbl>
    <w:p w14:paraId="15254859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525540F1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2BA949C0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</w:p>
    <w:p w14:paraId="187F0951" w14:textId="77777777" w:rsidR="00707C56" w:rsidRPr="00707C56" w:rsidRDefault="00707C56" w:rsidP="00707C56">
      <w:pPr>
        <w:rPr>
          <w:rFonts w:ascii="Garamond" w:hAnsi="Garamond"/>
          <w:b/>
          <w:sz w:val="24"/>
          <w:szCs w:val="24"/>
        </w:rPr>
      </w:pPr>
      <w:r w:rsidRPr="00707C56">
        <w:rPr>
          <w:rFonts w:ascii="Garamond" w:hAnsi="Garamond"/>
          <w:b/>
          <w:sz w:val="24"/>
          <w:szCs w:val="24"/>
        </w:rPr>
        <w:br w:type="page"/>
      </w:r>
    </w:p>
    <w:p w14:paraId="5C95359A" w14:textId="77777777" w:rsidR="00707C56" w:rsidRDefault="00707C56" w:rsidP="00707C56">
      <w:pPr>
        <w:rPr>
          <w:rFonts w:ascii="Garamond" w:hAnsi="Garamond"/>
          <w:b/>
          <w:sz w:val="36"/>
          <w:szCs w:val="36"/>
        </w:rPr>
      </w:pPr>
    </w:p>
    <w:p w14:paraId="6336323B" w14:textId="77777777" w:rsidR="00707C56" w:rsidRDefault="00707C56" w:rsidP="00707C56"/>
    <w:p w14:paraId="3131E0BE" w14:textId="77777777" w:rsidR="00707C56" w:rsidRPr="00707C56" w:rsidRDefault="00707C56" w:rsidP="00707C56">
      <w:pPr>
        <w:widowControl w:val="0"/>
        <w:autoSpaceDE w:val="0"/>
        <w:autoSpaceDN w:val="0"/>
        <w:adjustRightInd w:val="0"/>
        <w:rPr>
          <w:rFonts w:ascii="Garamond" w:hAnsi="Garamond" w:cs="Helvetica Neue"/>
          <w:color w:val="46515A"/>
        </w:rPr>
      </w:pPr>
    </w:p>
    <w:p w14:paraId="6187B4A9" w14:textId="77777777" w:rsidR="00707C56" w:rsidRDefault="00707C56"/>
    <w:sectPr w:rsidR="00707C56" w:rsidSect="00707C5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C66"/>
    <w:multiLevelType w:val="hybridMultilevel"/>
    <w:tmpl w:val="437092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6A8"/>
    <w:multiLevelType w:val="hybridMultilevel"/>
    <w:tmpl w:val="0080963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8F2"/>
    <w:multiLevelType w:val="hybridMultilevel"/>
    <w:tmpl w:val="C67884B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C4BCD"/>
    <w:multiLevelType w:val="hybridMultilevel"/>
    <w:tmpl w:val="8128541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F677A"/>
    <w:multiLevelType w:val="hybridMultilevel"/>
    <w:tmpl w:val="FD3ECC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3608"/>
    <w:multiLevelType w:val="hybridMultilevel"/>
    <w:tmpl w:val="1148545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11E24"/>
    <w:multiLevelType w:val="hybridMultilevel"/>
    <w:tmpl w:val="F108862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C2D42"/>
    <w:multiLevelType w:val="hybridMultilevel"/>
    <w:tmpl w:val="F8AA443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5709"/>
    <w:multiLevelType w:val="hybridMultilevel"/>
    <w:tmpl w:val="6136B43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A117D"/>
    <w:multiLevelType w:val="hybridMultilevel"/>
    <w:tmpl w:val="44083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9311F"/>
    <w:multiLevelType w:val="hybridMultilevel"/>
    <w:tmpl w:val="64E8997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56381"/>
    <w:multiLevelType w:val="hybridMultilevel"/>
    <w:tmpl w:val="3DD2F38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A0352"/>
    <w:multiLevelType w:val="hybridMultilevel"/>
    <w:tmpl w:val="FA740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368DB"/>
    <w:multiLevelType w:val="hybridMultilevel"/>
    <w:tmpl w:val="CCDA56C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E203F"/>
    <w:multiLevelType w:val="hybridMultilevel"/>
    <w:tmpl w:val="A7BC89B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C74539"/>
    <w:multiLevelType w:val="hybridMultilevel"/>
    <w:tmpl w:val="9CF0266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18"/>
  </w:num>
  <w:num w:numId="9">
    <w:abstractNumId w:val="19"/>
  </w:num>
  <w:num w:numId="10">
    <w:abstractNumId w:val="1"/>
  </w:num>
  <w:num w:numId="11">
    <w:abstractNumId w:val="7"/>
  </w:num>
  <w:num w:numId="12">
    <w:abstractNumId w:val="3"/>
  </w:num>
  <w:num w:numId="13">
    <w:abstractNumId w:val="17"/>
  </w:num>
  <w:num w:numId="14">
    <w:abstractNumId w:val="11"/>
  </w:num>
  <w:num w:numId="15">
    <w:abstractNumId w:val="16"/>
  </w:num>
  <w:num w:numId="16">
    <w:abstractNumId w:val="6"/>
  </w:num>
  <w:num w:numId="17">
    <w:abstractNumId w:val="5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C56"/>
    <w:rsid w:val="00305707"/>
    <w:rsid w:val="00707C56"/>
    <w:rsid w:val="00F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12C5"/>
  <w15:docId w15:val="{82BE5596-35EC-47B4-BE9F-996C1066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C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707C5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2</cp:revision>
  <cp:lastPrinted>2020-10-05T16:07:00Z</cp:lastPrinted>
  <dcterms:created xsi:type="dcterms:W3CDTF">2019-05-29T16:08:00Z</dcterms:created>
  <dcterms:modified xsi:type="dcterms:W3CDTF">2020-10-05T18:25:00Z</dcterms:modified>
</cp:coreProperties>
</file>