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37" w:rsidRDefault="002A1937">
      <w:r>
        <w:t>IS year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 w:rsidR="0093280A">
        <w:t xml:space="preserve">  </w:t>
      </w:r>
      <w:r>
        <w:t>Canada in the 19</w:t>
      </w:r>
      <w:r w:rsidRPr="002A1937">
        <w:rPr>
          <w:vertAlign w:val="superscript"/>
        </w:rPr>
        <w:t>th</w:t>
      </w:r>
      <w:r>
        <w:t xml:space="preserve"> century</w:t>
      </w:r>
    </w:p>
    <w:p w:rsidR="002A1937" w:rsidRDefault="002A1937">
      <w:r>
        <w:t>Preamble:</w:t>
      </w:r>
      <w:r w:rsidR="00481C12">
        <w:t xml:space="preserve"> </w:t>
      </w:r>
      <w:r>
        <w:t xml:space="preserve">Mackenzie King once said: “Some countries have too much history, we have to much </w:t>
      </w:r>
      <w:r w:rsidR="00481C12">
        <w:t>geography</w:t>
      </w:r>
      <w:r>
        <w:t xml:space="preserve"> </w:t>
      </w:r>
      <w:r w:rsidR="00481C12">
        <w:t>.“ T</w:t>
      </w:r>
      <w:r>
        <w:t xml:space="preserve">o help us understand </w:t>
      </w:r>
      <w:r w:rsidR="00481C12">
        <w:t>what he meant, we are going to investigate how our geography has influenced our history by creating short teaching videos of one of the following 7 topics from Canada’s 19</w:t>
      </w:r>
      <w:r w:rsidR="00481C12" w:rsidRPr="00481C12">
        <w:rPr>
          <w:vertAlign w:val="superscript"/>
        </w:rPr>
        <w:t>th</w:t>
      </w:r>
      <w:r w:rsidR="00481C12">
        <w:t xml:space="preserve"> century.</w:t>
      </w:r>
    </w:p>
    <w:p w:rsidR="00481C12" w:rsidRPr="0093280A" w:rsidRDefault="00481C12">
      <w:pPr>
        <w:rPr>
          <w:b/>
          <w:bCs/>
        </w:rPr>
      </w:pPr>
      <w:r w:rsidRPr="0093280A">
        <w:rPr>
          <w:b/>
          <w:bCs/>
        </w:rPr>
        <w:t xml:space="preserve">Topics: </w:t>
      </w:r>
    </w:p>
    <w:p w:rsidR="0093280A" w:rsidRDefault="0093280A" w:rsidP="00481C12">
      <w:pPr>
        <w:pStyle w:val="ListParagraph"/>
        <w:numPr>
          <w:ilvl w:val="0"/>
          <w:numId w:val="1"/>
        </w:numPr>
        <w:sectPr w:rsidR="0093280A">
          <w:pgSz w:w="12240" w:h="15840"/>
          <w:pgMar w:top="720" w:right="720" w:bottom="720" w:left="720" w:gutter="0"/>
          <w:docGrid w:linePitch="360"/>
        </w:sectPr>
      </w:pP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>Confederation</w:t>
      </w: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>Metis Rebellion (1</w:t>
      </w:r>
      <w:r w:rsidRPr="00481C12">
        <w:rPr>
          <w:vertAlign w:val="superscript"/>
        </w:rPr>
        <w:t>st</w:t>
      </w:r>
      <w:r>
        <w:t xml:space="preserve"> and 2</w:t>
      </w:r>
      <w:r w:rsidRPr="00481C12">
        <w:rPr>
          <w:vertAlign w:val="superscript"/>
        </w:rPr>
        <w:t>nd</w:t>
      </w:r>
      <w:r>
        <w:t>)</w:t>
      </w: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 xml:space="preserve">The Indian Act </w:t>
      </w: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>War of 1812</w:t>
      </w: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 xml:space="preserve">1837 Rebellion </w:t>
      </w: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>National Railway</w:t>
      </w:r>
    </w:p>
    <w:p w:rsidR="00481C12" w:rsidRDefault="00481C12" w:rsidP="00481C12">
      <w:pPr>
        <w:pStyle w:val="ListParagraph"/>
        <w:numPr>
          <w:ilvl w:val="0"/>
          <w:numId w:val="1"/>
        </w:numPr>
      </w:pPr>
      <w:r>
        <w:t>Cypress Hill Massacre/creation of NWMP</w:t>
      </w:r>
    </w:p>
    <w:p w:rsidR="0093280A" w:rsidRDefault="0093280A" w:rsidP="00481C12">
      <w:pPr>
        <w:sectPr w:rsidR="0093280A">
          <w:type w:val="continuous"/>
          <w:pgSz w:w="12240" w:h="15840"/>
          <w:pgMar w:top="720" w:right="720" w:bottom="720" w:left="720" w:gutter="0"/>
          <w:cols w:num="3"/>
          <w:docGrid w:linePitch="360"/>
        </w:sectPr>
      </w:pPr>
    </w:p>
    <w:p w:rsidR="00481C12" w:rsidRPr="0093280A" w:rsidRDefault="00481C12" w:rsidP="00481C12">
      <w:pPr>
        <w:rPr>
          <w:b/>
          <w:bCs/>
        </w:rPr>
      </w:pPr>
      <w:r w:rsidRPr="0093280A">
        <w:rPr>
          <w:b/>
          <w:bCs/>
        </w:rPr>
        <w:t>Projects: Choose from one of the following presentation methods</w:t>
      </w:r>
      <w:r w:rsidR="00D0788D" w:rsidRPr="0093280A">
        <w:rPr>
          <w:b/>
          <w:bCs/>
        </w:rPr>
        <w:t xml:space="preserve"> (groups of 3-4</w:t>
      </w:r>
      <w:r w:rsidR="00AB7BD9" w:rsidRPr="0093280A">
        <w:rPr>
          <w:b/>
          <w:bCs/>
        </w:rPr>
        <w:t>, presentations should be 3-5 minutes long)</w:t>
      </w:r>
    </w:p>
    <w:p w:rsidR="0093280A" w:rsidRDefault="0093280A" w:rsidP="00481C12">
      <w:pPr>
        <w:pStyle w:val="ListParagraph"/>
        <w:numPr>
          <w:ilvl w:val="0"/>
          <w:numId w:val="2"/>
        </w:numPr>
        <w:sectPr w:rsidR="0093280A"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>Render forest</w:t>
      </w: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>RSA Animate (draw on white boards and speed up)</w:t>
      </w: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 xml:space="preserve">Ted Talk </w:t>
      </w: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>Historical Minute</w:t>
      </w: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>John Greene’s “Crash Course in History”</w:t>
      </w: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>Skit</w:t>
      </w:r>
    </w:p>
    <w:p w:rsidR="00481C12" w:rsidRDefault="00481C12" w:rsidP="00481C12">
      <w:pPr>
        <w:pStyle w:val="ListParagraph"/>
        <w:numPr>
          <w:ilvl w:val="0"/>
          <w:numId w:val="2"/>
        </w:numPr>
      </w:pPr>
      <w:r>
        <w:t>Talking tableaus</w:t>
      </w:r>
    </w:p>
    <w:p w:rsidR="00D0788D" w:rsidRDefault="00D0788D" w:rsidP="00481C12">
      <w:pPr>
        <w:pStyle w:val="ListParagraph"/>
        <w:numPr>
          <w:ilvl w:val="0"/>
          <w:numId w:val="2"/>
        </w:numPr>
      </w:pPr>
      <w:r>
        <w:t>Large on chalk board</w:t>
      </w:r>
      <w:r w:rsidR="0008525E">
        <w:t>/white board</w:t>
      </w:r>
      <w:r>
        <w:t xml:space="preserve"> comic strip</w:t>
      </w:r>
    </w:p>
    <w:p w:rsidR="0093280A" w:rsidRDefault="0093280A" w:rsidP="00481C12">
      <w:pPr>
        <w:sectPr w:rsidR="0093280A">
          <w:type w:val="continuous"/>
          <w:pgSz w:w="12240" w:h="15840"/>
          <w:pgMar w:top="720" w:right="720" w:bottom="720" w:left="720" w:gutter="0"/>
          <w:cols w:num="3"/>
          <w:docGrid w:linePitch="360"/>
        </w:sectPr>
      </w:pPr>
    </w:p>
    <w:p w:rsidR="00D0788D" w:rsidRPr="0093280A" w:rsidRDefault="00481C12" w:rsidP="00481C12">
      <w:pPr>
        <w:rPr>
          <w:b/>
          <w:bCs/>
        </w:rPr>
      </w:pPr>
      <w:r w:rsidRPr="0093280A">
        <w:rPr>
          <w:b/>
          <w:bCs/>
        </w:rPr>
        <w:t xml:space="preserve">Must also include a </w:t>
      </w:r>
      <w:r w:rsidR="00D0788D" w:rsidRPr="0093280A">
        <w:rPr>
          <w:b/>
          <w:bCs/>
        </w:rPr>
        <w:t>1-page</w:t>
      </w:r>
      <w:r w:rsidRPr="0093280A">
        <w:rPr>
          <w:b/>
          <w:bCs/>
        </w:rPr>
        <w:t xml:space="preserve"> (maximum) handout that summarize the 5 w’s of your </w:t>
      </w:r>
      <w:r w:rsidR="00D0788D" w:rsidRPr="0093280A">
        <w:rPr>
          <w:b/>
          <w:bCs/>
        </w:rPr>
        <w:t>topic</w:t>
      </w:r>
      <w:r w:rsidRPr="0093280A">
        <w:rPr>
          <w:b/>
          <w:bCs/>
        </w:rPr>
        <w:t>, its connection to the statement of inquiry and 2-3 infographics.</w:t>
      </w:r>
      <w:r w:rsidR="0093280A" w:rsidRPr="0093280A">
        <w:rPr>
          <w:b/>
          <w:bCs/>
        </w:rPr>
        <w:t xml:space="preserve"> Must also cite your sources on the back of your handout ( I will show you how)</w:t>
      </w:r>
    </w:p>
    <w:p w:rsidR="00D0788D" w:rsidRDefault="00D0788D" w:rsidP="00481C12">
      <w:r>
        <w:t>Topic: 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D0788D">
        <w:tc>
          <w:tcPr>
            <w:tcW w:w="10790" w:type="dxa"/>
          </w:tcPr>
          <w:p w:rsidR="00D0788D" w:rsidRDefault="00D0788D" w:rsidP="00481C12">
            <w:r>
              <w:t>When did it happen:</w:t>
            </w:r>
          </w:p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</w:tc>
      </w:tr>
      <w:tr w:rsidR="00D0788D">
        <w:tc>
          <w:tcPr>
            <w:tcW w:w="10790" w:type="dxa"/>
          </w:tcPr>
          <w:p w:rsidR="00D0788D" w:rsidRDefault="00D0788D" w:rsidP="00481C12">
            <w:r>
              <w:t>Who was involved:</w:t>
            </w:r>
          </w:p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</w:tc>
      </w:tr>
      <w:tr w:rsidR="00D0788D">
        <w:tc>
          <w:tcPr>
            <w:tcW w:w="10790" w:type="dxa"/>
          </w:tcPr>
          <w:p w:rsidR="00D0788D" w:rsidRDefault="00D0788D" w:rsidP="00481C12">
            <w:r>
              <w:t>What happened (include 8-10 key points)</w:t>
            </w:r>
          </w:p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</w:tc>
      </w:tr>
      <w:tr w:rsidR="00D0788D">
        <w:tc>
          <w:tcPr>
            <w:tcW w:w="10790" w:type="dxa"/>
          </w:tcPr>
          <w:p w:rsidR="00D0788D" w:rsidRDefault="00E87E10" w:rsidP="00481C12">
            <w:r>
              <w:t>Interesting facts:</w:t>
            </w:r>
          </w:p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  <w:p w:rsidR="00D0788D" w:rsidRDefault="00D0788D" w:rsidP="00481C12"/>
        </w:tc>
      </w:tr>
      <w:tr w:rsidR="00D0788D">
        <w:tc>
          <w:tcPr>
            <w:tcW w:w="10790" w:type="dxa"/>
          </w:tcPr>
          <w:p w:rsidR="00D0788D" w:rsidRDefault="00D0788D" w:rsidP="00D0788D">
            <w:r>
              <w:t>Why was this event significant in Canadian history?</w:t>
            </w:r>
          </w:p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</w:tc>
      </w:tr>
      <w:tr w:rsidR="00D0788D">
        <w:tc>
          <w:tcPr>
            <w:tcW w:w="10790" w:type="dxa"/>
          </w:tcPr>
          <w:p w:rsidR="00D0788D" w:rsidRDefault="00D0788D" w:rsidP="00D0788D">
            <w:r>
              <w:t>How does this event relate to our statement of Inquiry (Understanding time space and place helps us understand our perspectives, history and identity), in other words, how was our geography a factor in all of these events? Think about things like where we are located, how large our country is, our landscape etc.)</w:t>
            </w:r>
          </w:p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  <w:p w:rsidR="00D0788D" w:rsidRDefault="00D0788D" w:rsidP="00D0788D"/>
        </w:tc>
      </w:tr>
      <w:tr w:rsidR="0093280A">
        <w:tc>
          <w:tcPr>
            <w:tcW w:w="10790" w:type="dxa"/>
          </w:tcPr>
          <w:p w:rsidR="0093280A" w:rsidRDefault="0093280A" w:rsidP="00D0788D">
            <w:r>
              <w:t>Sources (where you got your information and pictures for your handout).</w:t>
            </w:r>
          </w:p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  <w:p w:rsidR="0093280A" w:rsidRDefault="0093280A" w:rsidP="00D0788D"/>
        </w:tc>
      </w:tr>
    </w:tbl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Example Handout for (Must include information from all the note headings and at least two-three pictures with captions)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163830</wp:posOffset>
            </wp:positionV>
            <wp:extent cx="280416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24" y="21418"/>
                <wp:lineTo x="21424" y="0"/>
                <wp:lineTo x="0" y="0"/>
              </wp:wrapPolygon>
            </wp:wrapTight>
            <wp:docPr id="1" name="Picture 1" descr="::::250px-Kamloops_on_to_Ott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250px-Kamloops_on_to_Ottaw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E10" w:rsidRPr="00F819F2" w:rsidRDefault="00E87E10" w:rsidP="00E87E10">
      <w:pPr>
        <w:rPr>
          <w:rFonts w:ascii="Tahoma" w:hAnsi="Tahoma" w:cs="Tahoma"/>
          <w:b/>
          <w:u w:val="single"/>
        </w:rPr>
      </w:pPr>
      <w:r w:rsidRPr="00F819F2">
        <w:rPr>
          <w:rFonts w:ascii="Tahoma" w:hAnsi="Tahoma" w:cs="Tahoma"/>
          <w:b/>
          <w:u w:val="single"/>
        </w:rPr>
        <w:t>Canada’s Response to the Great Depression</w:t>
      </w:r>
    </w:p>
    <w:p w:rsidR="00E87E10" w:rsidRDefault="00E87E10" w:rsidP="00E87E10">
      <w:pPr>
        <w:rPr>
          <w:rFonts w:ascii="Tahoma" w:hAnsi="Tahoma" w:cs="Tahoma"/>
        </w:rPr>
      </w:pPr>
    </w:p>
    <w:p w:rsidR="00E87E10" w:rsidRDefault="00E87E10" w:rsidP="00E87E10">
      <w:pPr>
        <w:rPr>
          <w:rFonts w:ascii="Tahoma" w:hAnsi="Tahoma" w:cs="Tahoma"/>
        </w:rPr>
      </w:pPr>
      <w:r w:rsidRPr="00F819F2">
        <w:rPr>
          <w:rFonts w:ascii="Tahoma" w:hAnsi="Tahoma" w:cs="Tahoma"/>
          <w:b/>
        </w:rPr>
        <w:t>Who:</w:t>
      </w:r>
      <w:r>
        <w:rPr>
          <w:rFonts w:ascii="Tahoma" w:hAnsi="Tahoma" w:cs="Tahoma"/>
        </w:rPr>
        <w:t xml:space="preserve"> Prime Minister Bennett and Mackenzie King, The CCF, Social Credit party, and Unione Nationale, Canadians</w:t>
      </w:r>
    </w:p>
    <w:p w:rsidR="00E87E10" w:rsidRDefault="00E87E10" w:rsidP="00E87E10">
      <w:pPr>
        <w:rPr>
          <w:rFonts w:ascii="Tahoma" w:hAnsi="Tahoma" w:cs="Tahoma"/>
        </w:rPr>
      </w:pPr>
    </w:p>
    <w:p w:rsidR="00E87E10" w:rsidRDefault="00E87E10" w:rsidP="00E87E10">
      <w:pPr>
        <w:rPr>
          <w:rFonts w:ascii="Tahoma" w:hAnsi="Tahoma" w:cs="Tahoma"/>
        </w:rPr>
      </w:pPr>
      <w:r w:rsidRPr="00F819F2">
        <w:rPr>
          <w:rFonts w:ascii="Tahoma" w:hAnsi="Tahoma" w:cs="Tahoma"/>
          <w:b/>
        </w:rPr>
        <w:t>Where:</w:t>
      </w:r>
      <w:r>
        <w:rPr>
          <w:rFonts w:ascii="Tahoma" w:hAnsi="Tahoma" w:cs="Tahoma"/>
        </w:rPr>
        <w:t xml:space="preserve"> All over Canada</w:t>
      </w:r>
    </w:p>
    <w:p w:rsidR="00E87E10" w:rsidRDefault="00E87E10" w:rsidP="00E87E10">
      <w:pPr>
        <w:rPr>
          <w:rFonts w:ascii="Tahoma" w:hAnsi="Tahoma" w:cs="Tahoma"/>
        </w:rPr>
      </w:pPr>
    </w:p>
    <w:p w:rsidR="00E87E10" w:rsidRDefault="00E87E10" w:rsidP="00E87E10">
      <w:pPr>
        <w:rPr>
          <w:rFonts w:ascii="Tahoma" w:hAnsi="Tahoma" w:cs="Tahoma"/>
        </w:rPr>
      </w:pPr>
      <w:r w:rsidRPr="00F819F2">
        <w:rPr>
          <w:rFonts w:ascii="Tahoma" w:hAnsi="Tahoma" w:cs="Tahoma"/>
          <w:b/>
        </w:rPr>
        <w:t>When:</w:t>
      </w:r>
      <w:r>
        <w:rPr>
          <w:rFonts w:ascii="Tahoma" w:hAnsi="Tahoma" w:cs="Tahoma"/>
        </w:rPr>
        <w:t xml:space="preserve"> 1929-1939</w:t>
      </w:r>
    </w:p>
    <w:p w:rsidR="00E87E10" w:rsidRPr="00E87E10" w:rsidRDefault="00E87E10" w:rsidP="00E87E10">
      <w:pPr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7E10">
        <w:rPr>
          <w:rFonts w:ascii="Tahoma" w:hAnsi="Tahoma" w:cs="Tahoma"/>
          <w:i/>
          <w:iCs/>
        </w:rPr>
        <w:tab/>
        <w:t>The On-to-Ottawa Trek</w:t>
      </w:r>
    </w:p>
    <w:p w:rsidR="00E87E10" w:rsidRPr="00F819F2" w:rsidRDefault="00E87E10" w:rsidP="00E87E10">
      <w:pPr>
        <w:rPr>
          <w:rFonts w:ascii="Tahoma" w:hAnsi="Tahoma" w:cs="Tahoma"/>
          <w:b/>
        </w:rPr>
      </w:pPr>
      <w:r w:rsidRPr="00F819F2">
        <w:rPr>
          <w:rFonts w:ascii="Tahoma" w:hAnsi="Tahoma" w:cs="Tahoma"/>
          <w:b/>
        </w:rPr>
        <w:t xml:space="preserve">What: 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F819F2">
        <w:rPr>
          <w:rFonts w:ascii="Tahoma" w:hAnsi="Tahoma" w:cs="Tahoma"/>
          <w:i/>
        </w:rPr>
        <w:t>King:</w:t>
      </w:r>
      <w:r>
        <w:rPr>
          <w:rFonts w:ascii="Tahoma" w:hAnsi="Tahoma" w:cs="Tahoma"/>
        </w:rPr>
        <w:t xml:space="preserve"> Wouldn’t give a 5 cent piece to a Tory Provincial government, provincial gov’t can take care of it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F819F2">
        <w:rPr>
          <w:rFonts w:ascii="Tahoma" w:hAnsi="Tahoma" w:cs="Tahoma"/>
          <w:i/>
        </w:rPr>
        <w:t>Bennett:</w:t>
      </w:r>
      <w:r>
        <w:rPr>
          <w:rFonts w:ascii="Tahoma" w:hAnsi="Tahoma" w:cs="Tahoma"/>
        </w:rPr>
        <w:t xml:space="preserve"> Dear Mr. Prime Minister, Tighten Belt, poverty builds character, New Deal, 20 million to provinces, Pogey, Work Camps, unemployment relief act, tariffs, 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F819F2">
        <w:rPr>
          <w:rFonts w:ascii="Tahoma" w:hAnsi="Tahoma" w:cs="Tahoma"/>
          <w:i/>
        </w:rPr>
        <w:t>Farmers:</w:t>
      </w:r>
      <w:r>
        <w:rPr>
          <w:rFonts w:ascii="Tahoma" w:hAnsi="Tahoma" w:cs="Tahoma"/>
        </w:rPr>
        <w:t xml:space="preserve"> Tree Screen, Trash Farming, Stubble Farming, Prairie Farm Rehabilitation Act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F819F2">
        <w:rPr>
          <w:rFonts w:ascii="Tahoma" w:hAnsi="Tahoma" w:cs="Tahoma"/>
          <w:i/>
        </w:rPr>
        <w:t>Canadians:</w:t>
      </w:r>
      <w:r>
        <w:rPr>
          <w:rFonts w:ascii="Tahoma" w:hAnsi="Tahoma" w:cs="Tahoma"/>
        </w:rPr>
        <w:t xml:space="preserve"> distractions from the Depression such as Grey Owl, The Dionne Quints, Mini-golf, Movies 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-protests such as The On-to-Ottawa Trek, Regina Riot and Vancouver Sit-ins, -Vote for other parties such as the CCF, Social Credits, Unione Nationale </w:t>
      </w:r>
    </w:p>
    <w:p w:rsidR="00E87E10" w:rsidRDefault="00E87E10" w:rsidP="00E87E10">
      <w:pPr>
        <w:rPr>
          <w:rFonts w:ascii="Tahoma" w:hAnsi="Tahoma" w:cs="Tahoma"/>
        </w:rPr>
      </w:pPr>
    </w:p>
    <w:p w:rsidR="00E87E10" w:rsidRPr="00F819F2" w:rsidRDefault="00E87E10" w:rsidP="00E87E10">
      <w:pPr>
        <w:rPr>
          <w:rFonts w:ascii="Tahoma" w:hAnsi="Tahoma" w:cs="Tahoma"/>
          <w:b/>
        </w:rPr>
      </w:pPr>
      <w:r w:rsidRPr="00F819F2">
        <w:rPr>
          <w:rFonts w:ascii="Tahoma" w:hAnsi="Tahoma" w:cs="Tahoma"/>
          <w:b/>
        </w:rPr>
        <w:t>Why: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-While the responses helped Canada deal with the Depression, nothing but total war after the beginning of World War Two would truly end The Great Depression</w:t>
      </w:r>
    </w:p>
    <w:p w:rsidR="00E87E10" w:rsidRDefault="00E87E10" w:rsidP="00E87E10">
      <w:pPr>
        <w:rPr>
          <w:rFonts w:ascii="Tahoma" w:hAnsi="Tahoma" w:cs="Tahoma"/>
        </w:rPr>
      </w:pPr>
    </w:p>
    <w:p w:rsidR="00E87E10" w:rsidRPr="00F819F2" w:rsidRDefault="00E87E10" w:rsidP="00E87E10">
      <w:pPr>
        <w:rPr>
          <w:rFonts w:ascii="Tahoma" w:hAnsi="Tahoma" w:cs="Tahoma"/>
          <w:b/>
        </w:rPr>
      </w:pPr>
      <w:r w:rsidRPr="00F819F2">
        <w:rPr>
          <w:rFonts w:ascii="Tahoma" w:hAnsi="Tahoma" w:cs="Tahoma"/>
          <w:b/>
        </w:rPr>
        <w:t>Interesting Facts: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-to get the pogey you had to declare publicly that you were destitute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>-One person died in the Regina Riot</w:t>
      </w:r>
    </w:p>
    <w:p w:rsidR="00E87E10" w:rsidRDefault="00E87E10" w:rsidP="00E87E1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-Public work projects like bridges and roads that literally went nowhere were used to put people to work </w:t>
      </w:r>
    </w:p>
    <w:p w:rsidR="00D0788D" w:rsidRDefault="00E87E10" w:rsidP="00481C12">
      <w:r w:rsidRPr="00E87E10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67334</wp:posOffset>
            </wp:positionV>
            <wp:extent cx="2315882" cy="1524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8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E10">
        <w:rPr>
          <w:rFonts w:ascii="Tahoma" w:hAnsi="Tahoma" w:cs="Tahoma"/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10160</wp:posOffset>
            </wp:positionV>
            <wp:extent cx="2238375" cy="1714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E10">
        <w:rPr>
          <w:i/>
          <w:iCs/>
        </w:rPr>
        <w:t>A food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E10">
        <w:rPr>
          <w:i/>
          <w:iCs/>
        </w:rPr>
        <w:t>The Dionne Quints</w:t>
      </w:r>
    </w:p>
    <w:p w:rsidR="00481C12" w:rsidRDefault="00481C12"/>
    <w:p w:rsidR="0093280A" w:rsidRDefault="0093280A"/>
    <w:p w:rsidR="0093280A" w:rsidRDefault="0093280A"/>
    <w:p w:rsidR="0093280A" w:rsidRDefault="0093280A" w:rsidP="0093280A"/>
    <w:p w:rsidR="0093280A" w:rsidRPr="0093280A" w:rsidRDefault="0093280A" w:rsidP="0093280A">
      <w:pPr>
        <w:rPr>
          <w:rFonts w:ascii="Garamond" w:hAnsi="Garamond"/>
          <w:b/>
          <w:sz w:val="20"/>
          <w:szCs w:val="36"/>
        </w:rPr>
      </w:pPr>
      <w:bookmarkStart w:id="0" w:name="_GoBack"/>
      <w:bookmarkEnd w:id="0"/>
    </w:p>
    <w:tbl>
      <w:tblPr>
        <w:tblStyle w:val="TableGrid"/>
        <w:tblW w:w="10790" w:type="dxa"/>
        <w:tblLook w:val="04A0"/>
      </w:tblPr>
      <w:tblGrid>
        <w:gridCol w:w="1339"/>
        <w:gridCol w:w="3199"/>
        <w:gridCol w:w="2117"/>
        <w:gridCol w:w="4135"/>
      </w:tblGrid>
      <w:tr w:rsidR="005669A7" w:rsidRPr="0093280A">
        <w:tc>
          <w:tcPr>
            <w:tcW w:w="1339" w:type="dxa"/>
          </w:tcPr>
          <w:p w:rsidR="005669A7" w:rsidRPr="0093280A" w:rsidRDefault="005669A7" w:rsidP="00A74CA5">
            <w:pPr>
              <w:rPr>
                <w:rFonts w:ascii="Garamond" w:hAnsi="Garamond"/>
                <w:b/>
                <w:sz w:val="20"/>
              </w:rPr>
            </w:pPr>
            <w:r w:rsidRPr="0093280A">
              <w:rPr>
                <w:rFonts w:ascii="Garamond" w:hAnsi="Garamond"/>
                <w:b/>
                <w:sz w:val="20"/>
              </w:rPr>
              <w:t>Achievement Level</w:t>
            </w:r>
          </w:p>
        </w:tc>
        <w:tc>
          <w:tcPr>
            <w:tcW w:w="3199" w:type="dxa"/>
          </w:tcPr>
          <w:p w:rsidR="005669A7" w:rsidRPr="005669A7" w:rsidRDefault="005669A7" w:rsidP="00A74CA5">
            <w:pPr>
              <w:rPr>
                <w:rFonts w:ascii="Garamond" w:hAnsi="Garamond"/>
                <w:b/>
                <w:sz w:val="20"/>
                <w:szCs w:val="36"/>
              </w:rPr>
            </w:pPr>
            <w:r w:rsidRPr="0093280A">
              <w:rPr>
                <w:rFonts w:ascii="Garamond" w:hAnsi="Garamond"/>
                <w:b/>
                <w:sz w:val="20"/>
                <w:szCs w:val="36"/>
              </w:rPr>
              <w:t xml:space="preserve">Criterion A: </w:t>
            </w:r>
            <w:r w:rsidRPr="0093280A">
              <w:rPr>
                <w:rFonts w:ascii="Garamond" w:hAnsi="Garamond" w:cs="Helvetica Neue"/>
                <w:b/>
                <w:bCs/>
                <w:color w:val="46515A"/>
                <w:sz w:val="20"/>
                <w:szCs w:val="36"/>
              </w:rPr>
              <w:t>Knowing &amp; Understanding</w:t>
            </w:r>
          </w:p>
        </w:tc>
        <w:tc>
          <w:tcPr>
            <w:tcW w:w="2117" w:type="dxa"/>
          </w:tcPr>
          <w:p w:rsidR="005669A7" w:rsidRPr="005669A7" w:rsidRDefault="005669A7" w:rsidP="00A74CA5">
            <w:pPr>
              <w:rPr>
                <w:sz w:val="20"/>
              </w:rPr>
            </w:pPr>
            <w:r w:rsidRPr="0093280A">
              <w:rPr>
                <w:rFonts w:ascii="Garamond" w:hAnsi="Garamond"/>
                <w:b/>
                <w:sz w:val="20"/>
                <w:szCs w:val="36"/>
              </w:rPr>
              <w:t xml:space="preserve">Criterion B: </w:t>
            </w:r>
            <w:r w:rsidRPr="0093280A">
              <w:rPr>
                <w:rFonts w:ascii="Garamond" w:hAnsi="Garamond" w:cs="Helvetica Neue"/>
                <w:b/>
                <w:bCs/>
                <w:color w:val="46515A"/>
                <w:sz w:val="20"/>
                <w:szCs w:val="36"/>
              </w:rPr>
              <w:t>Investigating</w:t>
            </w:r>
          </w:p>
        </w:tc>
        <w:tc>
          <w:tcPr>
            <w:tcW w:w="4135" w:type="dxa"/>
          </w:tcPr>
          <w:p w:rsidR="005669A7" w:rsidRPr="0093280A" w:rsidRDefault="005669A7" w:rsidP="00A74CA5">
            <w:pPr>
              <w:rPr>
                <w:rFonts w:ascii="Garamond" w:hAnsi="Garamond"/>
                <w:b/>
                <w:sz w:val="20"/>
                <w:szCs w:val="36"/>
              </w:rPr>
            </w:pPr>
            <w:r w:rsidRPr="0093280A">
              <w:rPr>
                <w:rFonts w:ascii="Garamond" w:hAnsi="Garamond"/>
                <w:b/>
                <w:sz w:val="20"/>
                <w:szCs w:val="36"/>
              </w:rPr>
              <w:t xml:space="preserve">Criterion C: </w:t>
            </w:r>
            <w:r w:rsidRPr="0093280A">
              <w:rPr>
                <w:rFonts w:ascii="Garamond" w:hAnsi="Garamond" w:cs="Helvetica Neue"/>
                <w:b/>
                <w:bCs/>
                <w:color w:val="46515A"/>
                <w:sz w:val="20"/>
                <w:szCs w:val="36"/>
              </w:rPr>
              <w:t>Communicating</w:t>
            </w:r>
          </w:p>
        </w:tc>
      </w:tr>
      <w:tr w:rsidR="005669A7" w:rsidRPr="0093280A">
        <w:tc>
          <w:tcPr>
            <w:tcW w:w="1339" w:type="dxa"/>
          </w:tcPr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93280A">
              <w:rPr>
                <w:rFonts w:ascii="Garamond" w:hAnsi="Garamond"/>
                <w:sz w:val="20"/>
                <w:szCs w:val="28"/>
              </w:rPr>
              <w:t>0</w:t>
            </w:r>
          </w:p>
        </w:tc>
        <w:tc>
          <w:tcPr>
            <w:tcW w:w="9451" w:type="dxa"/>
            <w:gridSpan w:val="3"/>
          </w:tcPr>
          <w:p w:rsidR="005669A7" w:rsidRPr="0093280A" w:rsidRDefault="005669A7" w:rsidP="00A74CA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5669A7" w:rsidRPr="0093280A">
        <w:tc>
          <w:tcPr>
            <w:tcW w:w="1339" w:type="dxa"/>
          </w:tcPr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93280A">
              <w:rPr>
                <w:rFonts w:ascii="Garamond" w:hAnsi="Garamond"/>
                <w:sz w:val="20"/>
                <w:szCs w:val="28"/>
              </w:rPr>
              <w:t>1-2</w:t>
            </w:r>
          </w:p>
        </w:tc>
        <w:tc>
          <w:tcPr>
            <w:tcW w:w="3199" w:type="dxa"/>
          </w:tcPr>
          <w:p w:rsidR="005669A7" w:rsidRPr="0093280A" w:rsidRDefault="005669A7" w:rsidP="0093280A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117" w:type="dxa"/>
          </w:tcPr>
          <w:p w:rsidR="005669A7" w:rsidRPr="005669A7" w:rsidRDefault="005669A7" w:rsidP="00A74CA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</w:tc>
        <w:tc>
          <w:tcPr>
            <w:tcW w:w="4135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  <w:p w:rsidR="005669A7" w:rsidRPr="0093280A" w:rsidRDefault="005669A7" w:rsidP="005669A7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Helvetica Neue"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documents sources of information in a limited way</w:t>
            </w:r>
          </w:p>
        </w:tc>
      </w:tr>
      <w:tr w:rsidR="005669A7" w:rsidRPr="0093280A">
        <w:tc>
          <w:tcPr>
            <w:tcW w:w="1339" w:type="dxa"/>
          </w:tcPr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93280A">
              <w:rPr>
                <w:rFonts w:ascii="Garamond" w:hAnsi="Garamond"/>
                <w:sz w:val="20"/>
                <w:szCs w:val="28"/>
              </w:rPr>
              <w:t>3-4</w:t>
            </w:r>
          </w:p>
        </w:tc>
        <w:tc>
          <w:tcPr>
            <w:tcW w:w="3199" w:type="dxa"/>
          </w:tcPr>
          <w:p w:rsidR="005669A7" w:rsidRPr="0093280A" w:rsidRDefault="005669A7" w:rsidP="0093280A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2117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  <w:p w:rsidR="005669A7" w:rsidRPr="0093280A" w:rsidRDefault="005669A7" w:rsidP="00A74CA5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  <w:tc>
          <w:tcPr>
            <w:tcW w:w="4135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  <w:p w:rsidR="005669A7" w:rsidRPr="0093280A" w:rsidRDefault="005669A7" w:rsidP="005669A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Helvetica Neue"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sometimes documents sources of information using a recognized convention.</w:t>
            </w:r>
          </w:p>
        </w:tc>
      </w:tr>
      <w:tr w:rsidR="005669A7" w:rsidRPr="0093280A">
        <w:tc>
          <w:tcPr>
            <w:tcW w:w="1339" w:type="dxa"/>
          </w:tcPr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93280A">
              <w:rPr>
                <w:rFonts w:ascii="Garamond" w:hAnsi="Garamond"/>
                <w:sz w:val="20"/>
                <w:szCs w:val="28"/>
              </w:rPr>
              <w:t>5-6</w:t>
            </w:r>
          </w:p>
        </w:tc>
        <w:tc>
          <w:tcPr>
            <w:tcW w:w="3199" w:type="dxa"/>
          </w:tcPr>
          <w:p w:rsidR="005669A7" w:rsidRPr="0093280A" w:rsidRDefault="005669A7" w:rsidP="0093280A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2117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  <w:p w:rsidR="005669A7" w:rsidRPr="0093280A" w:rsidRDefault="005669A7" w:rsidP="00A74CA5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  <w:tc>
          <w:tcPr>
            <w:tcW w:w="4135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  <w:p w:rsidR="005669A7" w:rsidRPr="0093280A" w:rsidRDefault="005669A7" w:rsidP="005669A7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Helvetica Neue"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often documents sources of information using a recognized convention.</w:t>
            </w:r>
          </w:p>
        </w:tc>
      </w:tr>
      <w:tr w:rsidR="005669A7" w:rsidRPr="0093280A">
        <w:tc>
          <w:tcPr>
            <w:tcW w:w="1339" w:type="dxa"/>
          </w:tcPr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:rsidR="005669A7" w:rsidRPr="0093280A" w:rsidRDefault="005669A7" w:rsidP="00A74CA5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93280A">
              <w:rPr>
                <w:rFonts w:ascii="Garamond" w:hAnsi="Garamond"/>
                <w:sz w:val="20"/>
                <w:szCs w:val="28"/>
              </w:rPr>
              <w:t>7-8</w:t>
            </w:r>
          </w:p>
        </w:tc>
        <w:tc>
          <w:tcPr>
            <w:tcW w:w="3199" w:type="dxa"/>
          </w:tcPr>
          <w:p w:rsidR="005669A7" w:rsidRPr="0093280A" w:rsidRDefault="005669A7" w:rsidP="0093280A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2117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varied and relevant information, </w:t>
            </w:r>
          </w:p>
          <w:p w:rsidR="005669A7" w:rsidRPr="0093280A" w:rsidRDefault="005669A7" w:rsidP="00A74CA5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  <w:tc>
          <w:tcPr>
            <w:tcW w:w="4135" w:type="dxa"/>
          </w:tcPr>
          <w:p w:rsidR="005669A7" w:rsidRPr="0093280A" w:rsidRDefault="005669A7" w:rsidP="005669A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  <w:p w:rsidR="005669A7" w:rsidRPr="0093280A" w:rsidRDefault="005669A7" w:rsidP="005669A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Helvetica Neue"/>
                <w:sz w:val="20"/>
                <w:szCs w:val="20"/>
              </w:rPr>
            </w:pPr>
            <w:r w:rsidRPr="0093280A">
              <w:rPr>
                <w:rFonts w:ascii="Garamond" w:hAnsi="Garamond" w:cs="Helvetica Neue"/>
                <w:sz w:val="20"/>
                <w:szCs w:val="20"/>
              </w:rPr>
              <w:t>consistently documents sources of information using a recognized convention.</w:t>
            </w:r>
          </w:p>
        </w:tc>
      </w:tr>
    </w:tbl>
    <w:p w:rsidR="0093280A" w:rsidRPr="0093280A" w:rsidRDefault="0093280A" w:rsidP="0093280A">
      <w:pPr>
        <w:rPr>
          <w:rFonts w:ascii="Garamond" w:hAnsi="Garamond"/>
          <w:b/>
          <w:sz w:val="20"/>
          <w:szCs w:val="36"/>
        </w:rPr>
      </w:pPr>
    </w:p>
    <w:p w:rsidR="0093280A" w:rsidRPr="0093280A" w:rsidRDefault="0093280A" w:rsidP="0093280A">
      <w:pPr>
        <w:rPr>
          <w:sz w:val="20"/>
        </w:rPr>
      </w:pPr>
    </w:p>
    <w:p w:rsidR="0093280A" w:rsidRPr="0093280A" w:rsidRDefault="0093280A">
      <w:pPr>
        <w:rPr>
          <w:sz w:val="20"/>
        </w:rPr>
      </w:pPr>
    </w:p>
    <w:sectPr w:rsidR="0093280A" w:rsidRPr="0093280A" w:rsidSect="0093280A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 Light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1C594B"/>
    <w:multiLevelType w:val="hybridMultilevel"/>
    <w:tmpl w:val="2DE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EF2"/>
    <w:multiLevelType w:val="hybridMultilevel"/>
    <w:tmpl w:val="FC2CD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A1937"/>
    <w:rsid w:val="0008525E"/>
    <w:rsid w:val="002A1937"/>
    <w:rsid w:val="00481C12"/>
    <w:rsid w:val="005669A7"/>
    <w:rsid w:val="006F3730"/>
    <w:rsid w:val="00893A46"/>
    <w:rsid w:val="0093280A"/>
    <w:rsid w:val="009C1AD8"/>
    <w:rsid w:val="00AB7BD9"/>
    <w:rsid w:val="00D0788D"/>
    <w:rsid w:val="00E87E10"/>
    <w:rsid w:val="00EC3A01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1C12"/>
    <w:pPr>
      <w:ind w:left="720"/>
      <w:contextualSpacing/>
    </w:pPr>
  </w:style>
  <w:style w:type="table" w:styleId="TableGrid">
    <w:name w:val="Table Grid"/>
    <w:basedOn w:val="TableNormal"/>
    <w:uiPriority w:val="59"/>
    <w:rsid w:val="00D0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Erica Foote</cp:lastModifiedBy>
  <cp:revision>2</cp:revision>
  <dcterms:created xsi:type="dcterms:W3CDTF">2019-09-28T22:03:00Z</dcterms:created>
  <dcterms:modified xsi:type="dcterms:W3CDTF">2019-09-28T22:03:00Z</dcterms:modified>
</cp:coreProperties>
</file>